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rPr>
          <w:rFonts w:ascii="Georgia" w:cs="Georgia" w:eastAsia="Georgia" w:hAnsi="Georgia"/>
          <w:b w:val="1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highlight w:val="white"/>
          <w:rtl w:val="0"/>
        </w:rPr>
        <w:t xml:space="preserve">До маркировки шин осталось три недели: каких выгод ждать покупателям и бизнесу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Cousine" w:cs="Cousine" w:eastAsia="Cousine" w:hAnsi="Cousine"/>
          <w:color w:val="333333"/>
          <w:highlight w:val="white"/>
          <w:rtl w:val="0"/>
        </w:rPr>
        <w:t xml:space="preserve">1 ноября в России начинается первый этап введения обязательной цифровой маркировки шин – это предусмотрено постановлением правительства от 31.12.2019 №1958. 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Покупатель сможет проверить легальность маркированных шин, а также их потребительские характеристики с помощью приложения «Честный знак» - для этого нужно просканировать уникальный код Data Matrix, нанесенный на шину. 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Для граждан введение маркировки означает гарантию уверенности в приобретении качественного и безопасного товара. Например, нет больше риска купить подержанные шины под видом новых. Добросовестный бизнес получает более лояльных покупателей, а также возможность автоматизации и оптимизации бизнес-процессов и расширения доля рынка за счет ухода недобросовестных игроков. Для государства маркировка – цифровизация целых отраслей и администрирования, прозрачность товаропотоков. 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Georgia" w:cs="Georgia" w:eastAsia="Georgia" w:hAnsi="Georgia"/>
          <w:color w:val="333333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С 1 ноября все импортеры и производители обязаны производить и импортировать только маркированные шины, а оптовые компании, работающие с ними напрямую, обязаны передавать в государственную информационную систему сведения о приобретении таких шин и о выводе их из оборота. </w:t>
      </w:r>
    </w:p>
    <w:p w:rsidR="00000000" w:rsidDel="00000000" w:rsidP="00000000" w:rsidRDefault="00000000" w:rsidRPr="00000000" w14:paraId="00000006">
      <w:pPr>
        <w:spacing w:before="24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highlight w:val="white"/>
          <w:rtl w:val="0"/>
        </w:rPr>
        <w:t xml:space="preserve">Розничники, реализующие маркированные шины, с 1 ноября также должны передавать информацию об их выводе из оборота в систему «Честный знак».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sin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sine-regular.ttf"/><Relationship Id="rId2" Type="http://schemas.openxmlformats.org/officeDocument/2006/relationships/font" Target="fonts/Cousine-bold.ttf"/><Relationship Id="rId3" Type="http://schemas.openxmlformats.org/officeDocument/2006/relationships/font" Target="fonts/Cousine-italic.ttf"/><Relationship Id="rId4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